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BD16B" w14:textId="77777777" w:rsidR="00C27D0B" w:rsidRPr="00BF734E" w:rsidRDefault="00616B62" w:rsidP="00250F4B">
      <w:pPr>
        <w:spacing w:after="0"/>
        <w:jc w:val="center"/>
        <w:rPr>
          <w:b/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>Conceptul</w:t>
      </w:r>
    </w:p>
    <w:p w14:paraId="346DF147" w14:textId="77777777" w:rsidR="00616B62" w:rsidRPr="00BF734E" w:rsidRDefault="005D3AB7" w:rsidP="005D3AB7">
      <w:pPr>
        <w:jc w:val="center"/>
        <w:rPr>
          <w:b/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>c</w:t>
      </w:r>
      <w:r w:rsidR="00616B62" w:rsidRPr="00BF734E">
        <w:rPr>
          <w:b/>
          <w:sz w:val="24"/>
          <w:szCs w:val="24"/>
          <w:lang w:val="ro-RO"/>
        </w:rPr>
        <w:t>ampaniei de informare ”Tuberculoza nu a dispărut</w:t>
      </w:r>
      <w:r w:rsidR="00823CA8" w:rsidRPr="00BF734E">
        <w:rPr>
          <w:b/>
          <w:sz w:val="24"/>
          <w:szCs w:val="24"/>
          <w:lang w:val="ro-RO"/>
        </w:rPr>
        <w:t>, susțineți persoanele afectate de tuberculoză!</w:t>
      </w:r>
      <w:r w:rsidR="00616B62" w:rsidRPr="00BF734E">
        <w:rPr>
          <w:b/>
          <w:sz w:val="24"/>
          <w:szCs w:val="24"/>
          <w:lang w:val="ro-RO"/>
        </w:rPr>
        <w:t xml:space="preserve">”, desfășurată cu ocazia </w:t>
      </w:r>
      <w:r w:rsidRPr="00BF734E">
        <w:rPr>
          <w:b/>
          <w:sz w:val="24"/>
          <w:szCs w:val="24"/>
          <w:lang w:val="ro-RO"/>
        </w:rPr>
        <w:t>Zilei Internaționale a drepturilor omului</w:t>
      </w:r>
    </w:p>
    <w:p w14:paraId="78CE10D9" w14:textId="77777777" w:rsidR="005D3AB7" w:rsidRPr="00BF734E" w:rsidRDefault="005D3AB7" w:rsidP="005D3AB7">
      <w:pPr>
        <w:jc w:val="both"/>
        <w:rPr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 xml:space="preserve">Perioada desfășurării: </w:t>
      </w:r>
      <w:r w:rsidR="000D5486" w:rsidRPr="00BF734E">
        <w:rPr>
          <w:sz w:val="24"/>
          <w:szCs w:val="24"/>
          <w:lang w:val="ro-RO"/>
        </w:rPr>
        <w:t>15</w:t>
      </w:r>
      <w:r w:rsidR="00374620" w:rsidRPr="00BF734E">
        <w:rPr>
          <w:sz w:val="24"/>
          <w:szCs w:val="24"/>
          <w:lang w:val="ro-RO"/>
        </w:rPr>
        <w:t xml:space="preserve"> noiembrie</w:t>
      </w:r>
      <w:r w:rsidR="000D5486" w:rsidRPr="00BF734E">
        <w:rPr>
          <w:sz w:val="24"/>
          <w:szCs w:val="24"/>
          <w:lang w:val="ro-RO"/>
        </w:rPr>
        <w:t xml:space="preserve"> – 12 decembrie</w:t>
      </w:r>
      <w:r w:rsidR="00374620" w:rsidRPr="00BF734E">
        <w:rPr>
          <w:sz w:val="24"/>
          <w:szCs w:val="24"/>
          <w:lang w:val="ro-RO"/>
        </w:rPr>
        <w:t xml:space="preserve"> 2021</w:t>
      </w:r>
    </w:p>
    <w:p w14:paraId="14694FCB" w14:textId="3D241E8B" w:rsidR="00374620" w:rsidRPr="00BF734E" w:rsidRDefault="00374620" w:rsidP="00EC3A80">
      <w:pPr>
        <w:jc w:val="both"/>
        <w:rPr>
          <w:b/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 xml:space="preserve">Organizatori: </w:t>
      </w:r>
      <w:r w:rsidRPr="00BF734E">
        <w:rPr>
          <w:sz w:val="24"/>
          <w:szCs w:val="24"/>
          <w:lang w:val="ro-RO"/>
        </w:rPr>
        <w:t>Centrul pentru Politici și Analize în Sănătate</w:t>
      </w:r>
      <w:r w:rsidR="00EC3A80" w:rsidRPr="00BF734E">
        <w:rPr>
          <w:sz w:val="24"/>
          <w:szCs w:val="24"/>
          <w:lang w:val="ro-RO"/>
        </w:rPr>
        <w:t xml:space="preserve"> </w:t>
      </w:r>
      <w:r w:rsidR="0062574A">
        <w:rPr>
          <w:sz w:val="24"/>
          <w:szCs w:val="24"/>
          <w:lang w:val="ro-RO"/>
        </w:rPr>
        <w:t>în parteneriat cu Programul Național de Răspuns la Tuberculoză și Platforma organizațiilor civile în domeniul TB</w:t>
      </w:r>
      <w:r w:rsidR="00FA171F" w:rsidRPr="00BF734E">
        <w:rPr>
          <w:sz w:val="24"/>
          <w:szCs w:val="24"/>
          <w:lang w:val="ro-RO"/>
        </w:rPr>
        <w:t>.</w:t>
      </w:r>
    </w:p>
    <w:p w14:paraId="22D65DF1" w14:textId="0E3B1EE3" w:rsidR="0062574A" w:rsidRDefault="00374620" w:rsidP="0062574A">
      <w:pPr>
        <w:jc w:val="both"/>
        <w:rPr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>Parteneri</w:t>
      </w:r>
      <w:r w:rsidRPr="00BF734E">
        <w:rPr>
          <w:sz w:val="24"/>
          <w:szCs w:val="24"/>
          <w:lang w:val="ro-RO"/>
        </w:rPr>
        <w:t>:</w:t>
      </w:r>
      <w:r w:rsidR="00341981" w:rsidRPr="00BF734E">
        <w:rPr>
          <w:sz w:val="24"/>
          <w:szCs w:val="24"/>
          <w:lang w:val="ro-RO"/>
        </w:rPr>
        <w:t xml:space="preserve"> </w:t>
      </w:r>
      <w:r w:rsidR="002D3C29" w:rsidRPr="00BF734E">
        <w:rPr>
          <w:sz w:val="24"/>
          <w:szCs w:val="24"/>
          <w:lang w:val="ro-RO"/>
        </w:rPr>
        <w:t xml:space="preserve"> Ministerul Sănătății</w:t>
      </w:r>
      <w:r w:rsidRPr="00BF734E">
        <w:rPr>
          <w:sz w:val="24"/>
          <w:szCs w:val="24"/>
          <w:lang w:val="ro-RO"/>
        </w:rPr>
        <w:t xml:space="preserve">, </w:t>
      </w:r>
      <w:r w:rsidR="00341981" w:rsidRPr="00BF734E">
        <w:rPr>
          <w:sz w:val="24"/>
          <w:szCs w:val="24"/>
          <w:lang w:val="ro-RO"/>
        </w:rPr>
        <w:t xml:space="preserve">Institutul </w:t>
      </w:r>
      <w:r w:rsidR="002D3C29" w:rsidRPr="00BF734E">
        <w:rPr>
          <w:sz w:val="24"/>
          <w:szCs w:val="24"/>
          <w:lang w:val="ro-RO"/>
        </w:rPr>
        <w:t>pentru Drepturile Omului</w:t>
      </w:r>
      <w:r w:rsidR="00152FB5" w:rsidRPr="00BF734E">
        <w:rPr>
          <w:sz w:val="24"/>
          <w:szCs w:val="24"/>
          <w:lang w:val="ro-RO"/>
        </w:rPr>
        <w:t xml:space="preserve">, </w:t>
      </w:r>
      <w:r w:rsidR="002D3C29" w:rsidRPr="00BF734E">
        <w:rPr>
          <w:sz w:val="24"/>
          <w:szCs w:val="24"/>
          <w:lang w:val="ro-RO"/>
        </w:rPr>
        <w:t xml:space="preserve">Centrul de excelență în </w:t>
      </w:r>
      <w:r w:rsidR="0062574A">
        <w:rPr>
          <w:sz w:val="24"/>
          <w:szCs w:val="24"/>
          <w:lang w:val="ro-RO"/>
        </w:rPr>
        <w:t>medicină și farmacie ”</w:t>
      </w:r>
      <w:proofErr w:type="spellStart"/>
      <w:r w:rsidR="0062574A">
        <w:rPr>
          <w:sz w:val="24"/>
          <w:szCs w:val="24"/>
          <w:lang w:val="ro-RO"/>
        </w:rPr>
        <w:t>Raisa</w:t>
      </w:r>
      <w:proofErr w:type="spellEnd"/>
      <w:r w:rsidR="0062574A">
        <w:rPr>
          <w:sz w:val="24"/>
          <w:szCs w:val="24"/>
          <w:lang w:val="ro-RO"/>
        </w:rPr>
        <w:t xml:space="preserve"> </w:t>
      </w:r>
      <w:proofErr w:type="spellStart"/>
      <w:r w:rsidR="0062574A">
        <w:rPr>
          <w:sz w:val="24"/>
          <w:szCs w:val="24"/>
          <w:lang w:val="ro-RO"/>
        </w:rPr>
        <w:t>Pacalo</w:t>
      </w:r>
      <w:proofErr w:type="spellEnd"/>
      <w:r w:rsidR="0062574A">
        <w:rPr>
          <w:sz w:val="24"/>
          <w:szCs w:val="24"/>
          <w:lang w:val="ro-RO"/>
        </w:rPr>
        <w:t>”, C</w:t>
      </w:r>
      <w:r w:rsidR="0062574A" w:rsidRPr="0062574A">
        <w:rPr>
          <w:sz w:val="24"/>
          <w:szCs w:val="24"/>
          <w:lang w:val="ro-RO"/>
        </w:rPr>
        <w:t>olegiile de medicina Orhei, Bălți, Ungheni, Cahul.</w:t>
      </w:r>
    </w:p>
    <w:p w14:paraId="0D1C940E" w14:textId="1A5B10C6" w:rsidR="006C32DB" w:rsidRPr="0062574A" w:rsidRDefault="006C32DB" w:rsidP="0062574A">
      <w:pPr>
        <w:jc w:val="both"/>
        <w:rPr>
          <w:sz w:val="24"/>
          <w:szCs w:val="24"/>
          <w:lang w:val="ro-RO"/>
        </w:rPr>
      </w:pPr>
      <w:r w:rsidRPr="006C32DB">
        <w:rPr>
          <w:b/>
          <w:sz w:val="24"/>
          <w:szCs w:val="24"/>
          <w:lang w:val="ro-RO"/>
        </w:rPr>
        <w:t>Finanțatori:</w:t>
      </w:r>
      <w:r>
        <w:rPr>
          <w:sz w:val="24"/>
          <w:szCs w:val="24"/>
          <w:lang w:val="ro-RO"/>
        </w:rPr>
        <w:t xml:space="preserve"> Fondul</w:t>
      </w:r>
      <w:r w:rsidRPr="006C32DB">
        <w:rPr>
          <w:sz w:val="24"/>
          <w:szCs w:val="24"/>
          <w:lang w:val="ro-RO"/>
        </w:rPr>
        <w:t xml:space="preserve"> Global pentru combaterea tuberculozei, HIV/SIDA și Malariei </w:t>
      </w:r>
      <w:r w:rsidRPr="006C32DB">
        <w:rPr>
          <w:sz w:val="24"/>
          <w:szCs w:val="24"/>
          <w:lang w:val="ro-RO"/>
        </w:rPr>
        <w:t xml:space="preserve">în cadrul proiectului ”Fortificarea controlului tuberculozei și reducerea mortalității prin SIDA în Republica Moldova”, implementat de </w:t>
      </w:r>
      <w:r>
        <w:rPr>
          <w:sz w:val="24"/>
          <w:szCs w:val="24"/>
          <w:lang w:val="ro-RO"/>
        </w:rPr>
        <w:t xml:space="preserve">IP </w:t>
      </w:r>
      <w:r w:rsidRPr="006C32DB">
        <w:rPr>
          <w:sz w:val="24"/>
          <w:szCs w:val="24"/>
          <w:lang w:val="ro-RO"/>
        </w:rPr>
        <w:t xml:space="preserve">UCIMP </w:t>
      </w:r>
      <w:r>
        <w:rPr>
          <w:sz w:val="24"/>
          <w:szCs w:val="24"/>
          <w:lang w:val="ro-RO"/>
        </w:rPr>
        <w:t xml:space="preserve">DS </w:t>
      </w:r>
      <w:r w:rsidRPr="006C32DB">
        <w:rPr>
          <w:sz w:val="24"/>
          <w:szCs w:val="24"/>
          <w:lang w:val="ro-RO"/>
        </w:rPr>
        <w:t xml:space="preserve">în calitate de recipient principal și Centrul PAS în calitate de </w:t>
      </w:r>
      <w:proofErr w:type="spellStart"/>
      <w:r w:rsidRPr="006C32DB">
        <w:rPr>
          <w:sz w:val="24"/>
          <w:szCs w:val="24"/>
          <w:lang w:val="ro-RO"/>
        </w:rPr>
        <w:t>subrecipient</w:t>
      </w:r>
      <w:proofErr w:type="spellEnd"/>
      <w:r w:rsidRPr="006C32DB">
        <w:rPr>
          <w:sz w:val="24"/>
          <w:szCs w:val="24"/>
          <w:lang w:val="ro-RO"/>
        </w:rPr>
        <w:t>.</w:t>
      </w:r>
    </w:p>
    <w:p w14:paraId="17C8E178" w14:textId="77777777" w:rsidR="00250F4B" w:rsidRPr="00BF734E" w:rsidRDefault="00250F4B" w:rsidP="00250F4B">
      <w:pPr>
        <w:jc w:val="both"/>
        <w:rPr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>Mesaj cheie: „</w:t>
      </w:r>
      <w:r w:rsidRPr="00BF734E">
        <w:rPr>
          <w:sz w:val="24"/>
          <w:szCs w:val="24"/>
          <w:lang w:val="ro-RO"/>
        </w:rPr>
        <w:t>Drepturile omului în tuberculoză – abordare echilibrată pentru beneficiu comun!”</w:t>
      </w:r>
    </w:p>
    <w:p w14:paraId="107E687A" w14:textId="77777777" w:rsidR="00374620" w:rsidRPr="00BF734E" w:rsidRDefault="002D3C29" w:rsidP="005D3AB7">
      <w:pPr>
        <w:jc w:val="both"/>
        <w:rPr>
          <w:b/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>Obiectivele</w:t>
      </w:r>
      <w:r w:rsidR="00374620" w:rsidRPr="00BF734E">
        <w:rPr>
          <w:b/>
          <w:sz w:val="24"/>
          <w:szCs w:val="24"/>
          <w:lang w:val="ro-RO"/>
        </w:rPr>
        <w:t xml:space="preserve"> campaniei</w:t>
      </w:r>
      <w:r w:rsidRPr="00BF734E">
        <w:rPr>
          <w:b/>
          <w:sz w:val="24"/>
          <w:szCs w:val="24"/>
          <w:lang w:val="ro-RO"/>
        </w:rPr>
        <w:t>:</w:t>
      </w:r>
    </w:p>
    <w:p w14:paraId="5C7AC66B" w14:textId="77777777" w:rsidR="00F32ADD" w:rsidRPr="00BF734E" w:rsidRDefault="00F32ADD" w:rsidP="00F32ADD">
      <w:pPr>
        <w:pStyle w:val="ListParagraph"/>
        <w:numPr>
          <w:ilvl w:val="0"/>
          <w:numId w:val="6"/>
        </w:numPr>
        <w:tabs>
          <w:tab w:val="left" w:pos="7050"/>
        </w:tabs>
        <w:spacing w:line="360" w:lineRule="auto"/>
        <w:jc w:val="both"/>
        <w:rPr>
          <w:sz w:val="24"/>
          <w:szCs w:val="24"/>
          <w:lang w:val="ro-RO"/>
        </w:rPr>
      </w:pPr>
      <w:r w:rsidRPr="00BF734E">
        <w:rPr>
          <w:sz w:val="24"/>
          <w:szCs w:val="24"/>
          <w:lang w:val="ro-RO"/>
        </w:rPr>
        <w:t>Promovarea respectării drepturilor omului în contextul tuberculozei.</w:t>
      </w:r>
    </w:p>
    <w:p w14:paraId="6D1AD641" w14:textId="77777777" w:rsidR="00341981" w:rsidRPr="00BF734E" w:rsidRDefault="00374620" w:rsidP="00341981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BF734E">
        <w:rPr>
          <w:sz w:val="24"/>
          <w:szCs w:val="24"/>
          <w:lang w:val="ro-RO"/>
        </w:rPr>
        <w:t>Creșterea notificării cazurilor de tuberculoză depistate precoce și înlăturarea barierelor de accesare a serviciilor în contextul tuberculozei.</w:t>
      </w:r>
    </w:p>
    <w:p w14:paraId="399A5E38" w14:textId="77777777" w:rsidR="00BE3B1C" w:rsidRPr="00BF734E" w:rsidRDefault="00BE3B1C" w:rsidP="00BE3B1C">
      <w:pPr>
        <w:jc w:val="both"/>
        <w:rPr>
          <w:b/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>Publicul țintă al campaniei</w:t>
      </w:r>
    </w:p>
    <w:p w14:paraId="721D65AE" w14:textId="77777777" w:rsidR="00BE3B1C" w:rsidRPr="00BF734E" w:rsidRDefault="002D3C29" w:rsidP="00BE3B1C">
      <w:pPr>
        <w:jc w:val="both"/>
        <w:rPr>
          <w:sz w:val="24"/>
          <w:szCs w:val="24"/>
          <w:lang w:val="ro-RO"/>
        </w:rPr>
      </w:pPr>
      <w:r w:rsidRPr="00BF734E">
        <w:rPr>
          <w:sz w:val="24"/>
          <w:szCs w:val="24"/>
          <w:lang w:val="ro-RO"/>
        </w:rPr>
        <w:t>F</w:t>
      </w:r>
      <w:r w:rsidR="00BE3B1C" w:rsidRPr="00BF734E">
        <w:rPr>
          <w:sz w:val="24"/>
          <w:szCs w:val="24"/>
          <w:lang w:val="ro-RO"/>
        </w:rPr>
        <w:t>urnizorii ser</w:t>
      </w:r>
      <w:r w:rsidRPr="00BF734E">
        <w:rPr>
          <w:sz w:val="24"/>
          <w:szCs w:val="24"/>
          <w:lang w:val="ro-RO"/>
        </w:rPr>
        <w:t>viciilor de sănătate și sociale,</w:t>
      </w:r>
      <w:r w:rsidR="00BE3B1C" w:rsidRPr="00BF734E">
        <w:rPr>
          <w:sz w:val="24"/>
          <w:szCs w:val="24"/>
          <w:lang w:val="ro-RO"/>
        </w:rPr>
        <w:t xml:space="preserve"> per</w:t>
      </w:r>
      <w:r w:rsidRPr="00BF734E">
        <w:rPr>
          <w:sz w:val="24"/>
          <w:szCs w:val="24"/>
          <w:lang w:val="ro-RO"/>
        </w:rPr>
        <w:t xml:space="preserve">soanele afectate de tuberculoză, </w:t>
      </w:r>
      <w:r w:rsidR="00BE3B1C" w:rsidRPr="00BF734E">
        <w:rPr>
          <w:sz w:val="24"/>
          <w:szCs w:val="24"/>
          <w:lang w:val="ro-RO"/>
        </w:rPr>
        <w:t>factorii de</w:t>
      </w:r>
      <w:r w:rsidRPr="00BF734E">
        <w:rPr>
          <w:sz w:val="24"/>
          <w:szCs w:val="24"/>
          <w:lang w:val="ro-RO"/>
        </w:rPr>
        <w:t xml:space="preserve"> decizie de nivel central și local, </w:t>
      </w:r>
      <w:r w:rsidR="00BE3B1C" w:rsidRPr="00BF734E">
        <w:rPr>
          <w:sz w:val="24"/>
          <w:szCs w:val="24"/>
          <w:lang w:val="ro-RO"/>
        </w:rPr>
        <w:t>activiști din domeniul drepturi</w:t>
      </w:r>
      <w:r w:rsidRPr="00BF734E">
        <w:rPr>
          <w:sz w:val="24"/>
          <w:szCs w:val="24"/>
          <w:lang w:val="ro-RO"/>
        </w:rPr>
        <w:t>lor omului și sănătatea publica,</w:t>
      </w:r>
      <w:r w:rsidR="00BE3B1C" w:rsidRPr="00BF734E">
        <w:rPr>
          <w:sz w:val="24"/>
          <w:szCs w:val="24"/>
          <w:lang w:val="ro-RO"/>
        </w:rPr>
        <w:t xml:space="preserve"> populația generală.</w:t>
      </w:r>
    </w:p>
    <w:p w14:paraId="6CD2AE28" w14:textId="77777777" w:rsidR="00374620" w:rsidRPr="00BF734E" w:rsidRDefault="00374620" w:rsidP="005D3AB7">
      <w:pPr>
        <w:jc w:val="both"/>
        <w:rPr>
          <w:b/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t>Obiectivele campaniei</w:t>
      </w:r>
    </w:p>
    <w:p w14:paraId="69702EBD" w14:textId="77777777" w:rsidR="00374620" w:rsidRPr="00BF734E" w:rsidRDefault="00374620" w:rsidP="00F32AD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BF734E">
        <w:rPr>
          <w:sz w:val="24"/>
          <w:szCs w:val="24"/>
          <w:lang w:val="ro-RO"/>
        </w:rPr>
        <w:t xml:space="preserve">Informarea </w:t>
      </w:r>
      <w:r w:rsidR="00F32ADD" w:rsidRPr="00BF734E">
        <w:rPr>
          <w:sz w:val="24"/>
          <w:szCs w:val="24"/>
          <w:lang w:val="ro-RO"/>
        </w:rPr>
        <w:t xml:space="preserve">personalului medical și a publicului larg </w:t>
      </w:r>
      <w:r w:rsidRPr="00BF734E">
        <w:rPr>
          <w:sz w:val="24"/>
          <w:szCs w:val="24"/>
          <w:lang w:val="ro-RO"/>
        </w:rPr>
        <w:t xml:space="preserve">despre drepturile și obligațiunile persoanelor afectate de </w:t>
      </w:r>
      <w:r w:rsidR="00E102D1" w:rsidRPr="00BF734E">
        <w:rPr>
          <w:sz w:val="24"/>
          <w:szCs w:val="24"/>
          <w:lang w:val="ro-RO"/>
        </w:rPr>
        <w:t>TB</w:t>
      </w:r>
      <w:r w:rsidRPr="00BF734E">
        <w:rPr>
          <w:sz w:val="24"/>
          <w:szCs w:val="24"/>
          <w:lang w:val="ro-RO"/>
        </w:rPr>
        <w:t xml:space="preserve"> și soluțiile de înlăturare a barierelor eventuale în accesarea serviciilor medicale și sociale.</w:t>
      </w:r>
    </w:p>
    <w:p w14:paraId="0FBDEC65" w14:textId="77777777" w:rsidR="00F32ADD" w:rsidRPr="00BF734E" w:rsidRDefault="00F32ADD" w:rsidP="00F32AD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BF734E">
        <w:rPr>
          <w:sz w:val="24"/>
          <w:szCs w:val="24"/>
          <w:lang w:val="ro-RO"/>
        </w:rPr>
        <w:t xml:space="preserve">Informarea persoanelor afectate de </w:t>
      </w:r>
      <w:r w:rsidR="00E102D1" w:rsidRPr="00BF734E">
        <w:rPr>
          <w:sz w:val="24"/>
          <w:szCs w:val="24"/>
          <w:lang w:val="ro-RO"/>
        </w:rPr>
        <w:t>TB</w:t>
      </w:r>
      <w:r w:rsidRPr="00BF734E">
        <w:rPr>
          <w:sz w:val="24"/>
          <w:szCs w:val="24"/>
          <w:lang w:val="ro-RO"/>
        </w:rPr>
        <w:t xml:space="preserve"> cu privire la mecanismele existente pentru protejarea drepturilor lor</w:t>
      </w:r>
      <w:r w:rsidR="002D3C29" w:rsidRPr="00BF734E">
        <w:rPr>
          <w:sz w:val="24"/>
          <w:szCs w:val="24"/>
          <w:lang w:val="ro-RO"/>
        </w:rPr>
        <w:t>.</w:t>
      </w:r>
    </w:p>
    <w:p w14:paraId="0422891B" w14:textId="77777777" w:rsidR="00F32ADD" w:rsidRPr="00BF734E" w:rsidRDefault="00F32ADD" w:rsidP="00F32AD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BF734E">
        <w:rPr>
          <w:sz w:val="24"/>
          <w:szCs w:val="24"/>
          <w:lang w:val="ro-RO"/>
        </w:rPr>
        <w:t>Informarea populației</w:t>
      </w:r>
      <w:r w:rsidR="00BE3B1C" w:rsidRPr="00BF734E">
        <w:rPr>
          <w:sz w:val="24"/>
          <w:szCs w:val="24"/>
          <w:lang w:val="ro-RO"/>
        </w:rPr>
        <w:t xml:space="preserve"> </w:t>
      </w:r>
      <w:r w:rsidR="002D3C29" w:rsidRPr="00BF734E">
        <w:rPr>
          <w:sz w:val="24"/>
          <w:szCs w:val="24"/>
          <w:lang w:val="ro-RO"/>
        </w:rPr>
        <w:t>generale</w:t>
      </w:r>
      <w:r w:rsidRPr="00BF734E">
        <w:rPr>
          <w:sz w:val="24"/>
          <w:szCs w:val="24"/>
          <w:lang w:val="ro-RO"/>
        </w:rPr>
        <w:t xml:space="preserve"> despre importanța investigării la </w:t>
      </w:r>
      <w:r w:rsidR="00E102D1" w:rsidRPr="00BF734E">
        <w:rPr>
          <w:sz w:val="24"/>
          <w:szCs w:val="24"/>
          <w:lang w:val="ro-RO"/>
        </w:rPr>
        <w:t>TB</w:t>
      </w:r>
      <w:r w:rsidRPr="00BF734E">
        <w:rPr>
          <w:sz w:val="24"/>
          <w:szCs w:val="24"/>
          <w:lang w:val="ro-RO"/>
        </w:rPr>
        <w:t xml:space="preserve"> și urmarea tratamentului specific la necesitate.</w:t>
      </w:r>
    </w:p>
    <w:p w14:paraId="3BF27CF1" w14:textId="77777777" w:rsidR="00E102D1" w:rsidRPr="00BF734E" w:rsidRDefault="00E102D1" w:rsidP="00E102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BF734E">
        <w:rPr>
          <w:sz w:val="24"/>
          <w:szCs w:val="24"/>
          <w:lang w:val="ro-RO"/>
        </w:rPr>
        <w:t xml:space="preserve">Reducerea nivelului de stigmatizare și discriminare </w:t>
      </w:r>
      <w:r w:rsidR="000F31D3" w:rsidRPr="00BF734E">
        <w:rPr>
          <w:sz w:val="24"/>
          <w:szCs w:val="24"/>
          <w:lang w:val="ro-RO"/>
        </w:rPr>
        <w:t>a</w:t>
      </w:r>
      <w:r w:rsidRPr="00BF734E">
        <w:rPr>
          <w:sz w:val="24"/>
          <w:szCs w:val="24"/>
          <w:lang w:val="ro-RO"/>
        </w:rPr>
        <w:t xml:space="preserve"> persoanelor afectate de TB prin îmbunătățirea conștientizării publicului asupra TB.</w:t>
      </w:r>
    </w:p>
    <w:p w14:paraId="60B002DD" w14:textId="77777777" w:rsidR="00F32ADD" w:rsidRPr="00BF734E" w:rsidRDefault="00F32ADD" w:rsidP="00374620">
      <w:pPr>
        <w:pStyle w:val="ListParagraph"/>
        <w:ind w:left="90"/>
        <w:rPr>
          <w:b/>
          <w:sz w:val="24"/>
          <w:szCs w:val="24"/>
          <w:lang w:val="ro-RO"/>
        </w:rPr>
      </w:pPr>
    </w:p>
    <w:p w14:paraId="203AF6D6" w14:textId="77777777" w:rsidR="006C32DB" w:rsidRDefault="006C32DB" w:rsidP="000D5486">
      <w:pPr>
        <w:pStyle w:val="ListParagraph"/>
        <w:spacing w:before="240"/>
        <w:ind w:left="90"/>
        <w:rPr>
          <w:b/>
          <w:sz w:val="24"/>
          <w:szCs w:val="24"/>
          <w:lang w:val="ro-RO"/>
        </w:rPr>
      </w:pPr>
    </w:p>
    <w:p w14:paraId="7F632E4E" w14:textId="77777777" w:rsidR="006C32DB" w:rsidRDefault="006C32DB" w:rsidP="000D5486">
      <w:pPr>
        <w:pStyle w:val="ListParagraph"/>
        <w:spacing w:before="240"/>
        <w:ind w:left="90"/>
        <w:rPr>
          <w:b/>
          <w:sz w:val="24"/>
          <w:szCs w:val="24"/>
          <w:lang w:val="ro-RO"/>
        </w:rPr>
      </w:pPr>
    </w:p>
    <w:p w14:paraId="2D6A89BE" w14:textId="77777777" w:rsidR="006C32DB" w:rsidRDefault="006C32DB" w:rsidP="000D5486">
      <w:pPr>
        <w:pStyle w:val="ListParagraph"/>
        <w:spacing w:before="240"/>
        <w:ind w:left="90"/>
        <w:rPr>
          <w:b/>
          <w:sz w:val="24"/>
          <w:szCs w:val="24"/>
          <w:lang w:val="ro-RO"/>
        </w:rPr>
      </w:pPr>
    </w:p>
    <w:p w14:paraId="5B6AC5E7" w14:textId="1AF468F0" w:rsidR="000D5486" w:rsidRPr="00BF734E" w:rsidRDefault="000D5486" w:rsidP="000D5486">
      <w:pPr>
        <w:pStyle w:val="ListParagraph"/>
        <w:spacing w:before="240"/>
        <w:ind w:left="90"/>
        <w:rPr>
          <w:b/>
          <w:sz w:val="24"/>
          <w:szCs w:val="24"/>
          <w:lang w:val="ro-RO"/>
        </w:rPr>
      </w:pPr>
      <w:r w:rsidRPr="00BF734E">
        <w:rPr>
          <w:b/>
          <w:sz w:val="24"/>
          <w:szCs w:val="24"/>
          <w:lang w:val="ro-RO"/>
        </w:rPr>
        <w:lastRenderedPageBreak/>
        <w:t>Canale de comunicare</w:t>
      </w:r>
    </w:p>
    <w:p w14:paraId="2A372528" w14:textId="3348DF85" w:rsidR="000D5486" w:rsidRPr="00BF734E" w:rsidRDefault="000D5486" w:rsidP="000D5486">
      <w:pPr>
        <w:ind w:left="360"/>
        <w:jc w:val="both"/>
        <w:rPr>
          <w:sz w:val="24"/>
          <w:szCs w:val="24"/>
          <w:lang w:val="ro-RO"/>
        </w:rPr>
      </w:pPr>
      <w:r w:rsidRPr="00BF734E">
        <w:rPr>
          <w:sz w:val="24"/>
          <w:szCs w:val="24"/>
          <w:lang w:val="ro-RO"/>
        </w:rPr>
        <w:t xml:space="preserve">Campania va fi </w:t>
      </w:r>
      <w:r w:rsidR="000F31D3" w:rsidRPr="00BF734E">
        <w:rPr>
          <w:sz w:val="24"/>
          <w:szCs w:val="24"/>
          <w:lang w:val="ro-RO"/>
        </w:rPr>
        <w:t xml:space="preserve">realizată la nivelul comunității și </w:t>
      </w:r>
      <w:r w:rsidR="00576981">
        <w:rPr>
          <w:sz w:val="24"/>
          <w:szCs w:val="24"/>
          <w:lang w:val="ro-RO"/>
        </w:rPr>
        <w:t>instituțiil</w:t>
      </w:r>
      <w:r w:rsidR="0062574A">
        <w:rPr>
          <w:sz w:val="24"/>
          <w:szCs w:val="24"/>
          <w:lang w:val="ro-RO"/>
        </w:rPr>
        <w:t>or</w:t>
      </w:r>
      <w:r w:rsidR="00576981">
        <w:rPr>
          <w:sz w:val="24"/>
          <w:szCs w:val="24"/>
          <w:lang w:val="ro-RO"/>
        </w:rPr>
        <w:t xml:space="preserve"> medico-sanitare</w:t>
      </w:r>
      <w:r w:rsidRPr="00BF734E">
        <w:rPr>
          <w:sz w:val="24"/>
          <w:szCs w:val="24"/>
          <w:lang w:val="ro-RO"/>
        </w:rPr>
        <w:t xml:space="preserve">, susținută prin </w:t>
      </w:r>
      <w:r w:rsidR="000F31D3" w:rsidRPr="00BF734E">
        <w:rPr>
          <w:sz w:val="24"/>
          <w:szCs w:val="24"/>
          <w:lang w:val="ro-RO"/>
        </w:rPr>
        <w:t>difuzarea</w:t>
      </w:r>
      <w:r w:rsidRPr="00BF734E">
        <w:rPr>
          <w:sz w:val="24"/>
          <w:szCs w:val="24"/>
          <w:lang w:val="ro-RO"/>
        </w:rPr>
        <w:t xml:space="preserve"> mesajelor mass-media care modelează felul în care publicul țintă poate sprijini persoanele afectate de TB.</w:t>
      </w:r>
    </w:p>
    <w:p w14:paraId="59F8B43D" w14:textId="77777777" w:rsidR="00E102D1" w:rsidRPr="00BF734E" w:rsidRDefault="00E102D1" w:rsidP="00E102D1">
      <w:pPr>
        <w:pStyle w:val="ListParagraph"/>
        <w:spacing w:before="240"/>
        <w:ind w:left="90"/>
        <w:rPr>
          <w:b/>
          <w:sz w:val="24"/>
          <w:szCs w:val="24"/>
          <w:lang w:val="ro-RO"/>
        </w:rPr>
      </w:pPr>
      <w:bookmarkStart w:id="0" w:name="_GoBack"/>
      <w:bookmarkEnd w:id="0"/>
      <w:r w:rsidRPr="00BF734E">
        <w:rPr>
          <w:b/>
          <w:sz w:val="24"/>
          <w:szCs w:val="24"/>
          <w:lang w:val="ro-RO"/>
        </w:rPr>
        <w:t>Activități planificate</w:t>
      </w:r>
    </w:p>
    <w:p w14:paraId="35275BEE" w14:textId="77777777" w:rsidR="00E102D1" w:rsidRPr="00BF734E" w:rsidRDefault="00E102D1" w:rsidP="00E102D1">
      <w:pPr>
        <w:pStyle w:val="ListParagraph"/>
        <w:spacing w:before="240"/>
        <w:ind w:left="90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697"/>
        <w:gridCol w:w="2967"/>
        <w:gridCol w:w="2596"/>
      </w:tblGrid>
      <w:tr w:rsidR="00152FB5" w:rsidRPr="00BF734E" w14:paraId="05052BD0" w14:textId="77777777" w:rsidTr="002D3C29">
        <w:tc>
          <w:tcPr>
            <w:tcW w:w="3697" w:type="dxa"/>
          </w:tcPr>
          <w:p w14:paraId="41FE9626" w14:textId="77777777" w:rsidR="00152FB5" w:rsidRPr="00BF734E" w:rsidRDefault="00152FB5" w:rsidP="00E102D1">
            <w:pPr>
              <w:pStyle w:val="ListParagraph"/>
              <w:spacing w:before="240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b/>
                <w:sz w:val="24"/>
                <w:szCs w:val="24"/>
                <w:lang w:val="ro-RO"/>
              </w:rPr>
              <w:t>Activități</w:t>
            </w:r>
          </w:p>
        </w:tc>
        <w:tc>
          <w:tcPr>
            <w:tcW w:w="2967" w:type="dxa"/>
          </w:tcPr>
          <w:p w14:paraId="5ED2FDBB" w14:textId="77777777" w:rsidR="00152FB5" w:rsidRPr="00BF734E" w:rsidRDefault="00152FB5" w:rsidP="00E102D1">
            <w:pPr>
              <w:pStyle w:val="ListParagraph"/>
              <w:spacing w:before="240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b/>
                <w:sz w:val="24"/>
                <w:szCs w:val="24"/>
                <w:lang w:val="ro-RO"/>
              </w:rPr>
              <w:t>Perioada de realizare</w:t>
            </w:r>
          </w:p>
        </w:tc>
        <w:tc>
          <w:tcPr>
            <w:tcW w:w="2596" w:type="dxa"/>
          </w:tcPr>
          <w:p w14:paraId="5F5CC52D" w14:textId="77777777" w:rsidR="00152FB5" w:rsidRPr="00BF734E" w:rsidRDefault="00152FB5" w:rsidP="00E102D1">
            <w:pPr>
              <w:pStyle w:val="ListParagraph"/>
              <w:spacing w:before="240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b/>
                <w:sz w:val="24"/>
                <w:szCs w:val="24"/>
                <w:lang w:val="ro-RO"/>
              </w:rPr>
              <w:t>Implementatori</w:t>
            </w:r>
          </w:p>
        </w:tc>
      </w:tr>
      <w:tr w:rsidR="002D3C29" w:rsidRPr="00BF734E" w14:paraId="731AB0CC" w14:textId="77777777" w:rsidTr="002D3C29">
        <w:trPr>
          <w:trHeight w:val="614"/>
        </w:trPr>
        <w:tc>
          <w:tcPr>
            <w:tcW w:w="3697" w:type="dxa"/>
          </w:tcPr>
          <w:p w14:paraId="326E8396" w14:textId="77777777" w:rsidR="002D3C29" w:rsidRPr="00BF734E" w:rsidRDefault="002D3C29" w:rsidP="00152FB5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>Difuzarea materialelor video și audio la posturile TV și radio naționale</w:t>
            </w:r>
          </w:p>
        </w:tc>
        <w:tc>
          <w:tcPr>
            <w:tcW w:w="2967" w:type="dxa"/>
            <w:vMerge w:val="restart"/>
          </w:tcPr>
          <w:p w14:paraId="54BACDBC" w14:textId="77777777" w:rsidR="002D3C29" w:rsidRPr="00BF734E" w:rsidRDefault="002D3C29" w:rsidP="00E102D1">
            <w:pPr>
              <w:pStyle w:val="ListParagraph"/>
              <w:spacing w:before="240"/>
              <w:ind w:left="0"/>
              <w:rPr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>15 noiembrie-12 decembrie</w:t>
            </w:r>
          </w:p>
        </w:tc>
        <w:tc>
          <w:tcPr>
            <w:tcW w:w="2596" w:type="dxa"/>
          </w:tcPr>
          <w:p w14:paraId="1D7380A3" w14:textId="77777777" w:rsidR="002D3C29" w:rsidRPr="00BF734E" w:rsidRDefault="002D3C29" w:rsidP="00E102D1">
            <w:pPr>
              <w:pStyle w:val="ListParagraph"/>
              <w:spacing w:before="240"/>
              <w:ind w:left="0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>Centrul PAS</w:t>
            </w:r>
          </w:p>
        </w:tc>
      </w:tr>
      <w:tr w:rsidR="002D3C29" w:rsidRPr="00BF734E" w14:paraId="78FFC21B" w14:textId="77777777" w:rsidTr="002D3C29">
        <w:tc>
          <w:tcPr>
            <w:tcW w:w="3697" w:type="dxa"/>
          </w:tcPr>
          <w:p w14:paraId="61FD7C2A" w14:textId="77777777" w:rsidR="002D3C29" w:rsidRPr="00BF734E" w:rsidRDefault="002D3C29" w:rsidP="004A6B7A">
            <w:pPr>
              <w:jc w:val="both"/>
              <w:rPr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 xml:space="preserve">Distribuirea materialelor informaționale populației generale </w:t>
            </w:r>
          </w:p>
          <w:p w14:paraId="5491536A" w14:textId="77777777" w:rsidR="002D3C29" w:rsidRPr="00BF734E" w:rsidRDefault="002D3C29" w:rsidP="004A6B7A">
            <w:pPr>
              <w:pStyle w:val="HTMLPreformatted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67" w:type="dxa"/>
            <w:vMerge/>
          </w:tcPr>
          <w:p w14:paraId="6639E285" w14:textId="77777777" w:rsidR="002D3C29" w:rsidRPr="00BF734E" w:rsidRDefault="002D3C29" w:rsidP="00E04CE1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55B4006D" w14:textId="77777777" w:rsidR="002D3C29" w:rsidRPr="00BF734E" w:rsidRDefault="002D3C29" w:rsidP="00E04CE1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Centrul PAS cu implicarea studenților voluntari ai colegiilor medicale din Moldova</w:t>
            </w:r>
          </w:p>
          <w:p w14:paraId="758135F4" w14:textId="77777777" w:rsidR="002D3C29" w:rsidRPr="00BF734E" w:rsidRDefault="000F31D3" w:rsidP="00E04CE1">
            <w:pPr>
              <w:pStyle w:val="ListParagraph"/>
              <w:spacing w:before="240"/>
              <w:ind w:left="0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 xml:space="preserve">AO AFI, AO SMIT, AO UORN, AO ”Casa Speranțelor”, AO ”AFI Anenii Noi”, AO ”Asociația Psihologilor din Tighina”, AO ”Speranța Terrei”, AO ”Programe </w:t>
            </w:r>
            <w:proofErr w:type="spellStart"/>
            <w:r w:rsidRPr="00BF734E">
              <w:rPr>
                <w:sz w:val="24"/>
                <w:szCs w:val="24"/>
                <w:lang w:val="ro-RO"/>
              </w:rPr>
              <w:t>medico</w:t>
            </w:r>
            <w:proofErr w:type="spellEnd"/>
            <w:r w:rsidRPr="00BF734E">
              <w:rPr>
                <w:sz w:val="24"/>
                <w:szCs w:val="24"/>
                <w:lang w:val="ro-RO"/>
              </w:rPr>
              <w:t>-sociale”, AO ”</w:t>
            </w:r>
            <w:proofErr w:type="spellStart"/>
            <w:r w:rsidRPr="00BF734E">
              <w:rPr>
                <w:sz w:val="24"/>
                <w:szCs w:val="24"/>
                <w:lang w:val="ro-RO"/>
              </w:rPr>
              <w:t>Aktiv</w:t>
            </w:r>
            <w:proofErr w:type="spellEnd"/>
            <w:r w:rsidRPr="00BF734E">
              <w:rPr>
                <w:sz w:val="24"/>
                <w:szCs w:val="24"/>
                <w:lang w:val="ro-RO"/>
              </w:rPr>
              <w:t>”</w:t>
            </w:r>
          </w:p>
        </w:tc>
      </w:tr>
      <w:tr w:rsidR="002D3C29" w:rsidRPr="00BF734E" w14:paraId="3F3E96A5" w14:textId="77777777" w:rsidTr="002D3C29">
        <w:tc>
          <w:tcPr>
            <w:tcW w:w="3697" w:type="dxa"/>
          </w:tcPr>
          <w:p w14:paraId="06C67861" w14:textId="77777777" w:rsidR="002D3C29" w:rsidRPr="00BF734E" w:rsidRDefault="002D3C29" w:rsidP="000F31D3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 xml:space="preserve">Programe (emisiuni) tematice la TV și radio </w:t>
            </w:r>
          </w:p>
        </w:tc>
        <w:tc>
          <w:tcPr>
            <w:tcW w:w="2967" w:type="dxa"/>
            <w:vMerge/>
          </w:tcPr>
          <w:p w14:paraId="0704CA61" w14:textId="77777777" w:rsidR="002D3C29" w:rsidRPr="00BF734E" w:rsidRDefault="002D3C29" w:rsidP="002765B6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5DD493FF" w14:textId="77777777" w:rsidR="002D3C29" w:rsidRPr="00BF734E" w:rsidRDefault="000F31D3" w:rsidP="002765B6">
            <w:pPr>
              <w:pStyle w:val="HTMLPreformatted"/>
              <w:rPr>
                <w:b/>
                <w:sz w:val="24"/>
                <w:szCs w:val="24"/>
                <w:highlight w:val="yellow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AO AFI, AO SMIT, AO UORN, AO ”Casa Speranțelor”, AO ”AFI Anenii Noi”, AO ”Asociația Psihologilor din Tighina”, AO ”Speranța Terrei”, AO ”Programe 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medico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-sociale”, AO ”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Aktiv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”</w:t>
            </w:r>
          </w:p>
        </w:tc>
      </w:tr>
      <w:tr w:rsidR="002D3C29" w:rsidRPr="00BF734E" w14:paraId="4603E8CD" w14:textId="77777777" w:rsidTr="002D3C29">
        <w:tc>
          <w:tcPr>
            <w:tcW w:w="3697" w:type="dxa"/>
          </w:tcPr>
          <w:p w14:paraId="5F261F31" w14:textId="77777777" w:rsidR="002D3C29" w:rsidRPr="00BF734E" w:rsidRDefault="002D3C29" w:rsidP="00152FB5">
            <w:pPr>
              <w:jc w:val="both"/>
              <w:rPr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 xml:space="preserve">Pagini tematice sau articole în ziarele </w:t>
            </w:r>
            <w:r w:rsidR="000F31D3" w:rsidRPr="00BF734E">
              <w:rPr>
                <w:sz w:val="24"/>
                <w:szCs w:val="24"/>
                <w:lang w:val="ro-RO"/>
              </w:rPr>
              <w:t>naționale</w:t>
            </w:r>
            <w:r w:rsidRPr="00BF734E">
              <w:rPr>
                <w:sz w:val="24"/>
                <w:szCs w:val="24"/>
                <w:lang w:val="ro-RO"/>
              </w:rPr>
              <w:t xml:space="preserve"> și locale</w:t>
            </w:r>
          </w:p>
        </w:tc>
        <w:tc>
          <w:tcPr>
            <w:tcW w:w="2967" w:type="dxa"/>
            <w:vMerge/>
          </w:tcPr>
          <w:p w14:paraId="5487802E" w14:textId="77777777" w:rsidR="002D3C29" w:rsidRPr="00BF734E" w:rsidRDefault="002D3C29" w:rsidP="002765B6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6D4D3555" w14:textId="77777777" w:rsidR="002D3C29" w:rsidRPr="00BF734E" w:rsidRDefault="000F31D3" w:rsidP="002765B6">
            <w:pPr>
              <w:pStyle w:val="HTMLPreformatted"/>
              <w:rPr>
                <w:b/>
                <w:sz w:val="24"/>
                <w:szCs w:val="24"/>
                <w:highlight w:val="yellow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AO AFI, AO SMIT, AO UORN, AO ”Casa Speranțelor”, AO ”AFI Anenii Noi”, AO ”Asociația Psihologilor din Tighina”, AO ”Speranța Terrei”, AO ”Programe 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medico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-sociale”, AO ”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Aktiv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”</w:t>
            </w:r>
          </w:p>
        </w:tc>
      </w:tr>
      <w:tr w:rsidR="002D3C29" w:rsidRPr="00BF734E" w14:paraId="52CE9440" w14:textId="77777777" w:rsidTr="002D3C29">
        <w:tc>
          <w:tcPr>
            <w:tcW w:w="3697" w:type="dxa"/>
          </w:tcPr>
          <w:p w14:paraId="1F06E21B" w14:textId="77777777" w:rsidR="002D3C29" w:rsidRPr="00BF734E" w:rsidRDefault="002D3C29" w:rsidP="00BD5260">
            <w:pPr>
              <w:pStyle w:val="HTMLPreformatted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lastRenderedPageBreak/>
              <w:t>Organizarea de standuri și colțuri de informații tematice în biblioteci, instituții educaționale și medicale</w:t>
            </w:r>
          </w:p>
        </w:tc>
        <w:tc>
          <w:tcPr>
            <w:tcW w:w="2967" w:type="dxa"/>
            <w:vMerge/>
          </w:tcPr>
          <w:p w14:paraId="661CF348" w14:textId="77777777" w:rsidR="002D3C29" w:rsidRPr="00BF734E" w:rsidRDefault="002D3C29" w:rsidP="002765B6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7FAE0A50" w14:textId="77777777" w:rsidR="002D3C29" w:rsidRPr="00BF734E" w:rsidRDefault="000F31D3" w:rsidP="002765B6">
            <w:pPr>
              <w:pStyle w:val="HTMLPreformatted"/>
              <w:rPr>
                <w:b/>
                <w:sz w:val="24"/>
                <w:szCs w:val="24"/>
                <w:highlight w:val="yellow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AO AFI, AO SMIT, AO UORN, AO ”Casa Speranțelor”, AO ”AFI Anenii Noi”, AO ”Asociația Psihologilor din Tighina”, AO ”Speranța Terrei”, AO ”Programe 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medico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-sociale”, AO ”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Aktiv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”</w:t>
            </w:r>
          </w:p>
        </w:tc>
      </w:tr>
      <w:tr w:rsidR="002D3C29" w:rsidRPr="00BF734E" w14:paraId="351AEBB6" w14:textId="77777777" w:rsidTr="002D3C29">
        <w:tc>
          <w:tcPr>
            <w:tcW w:w="3697" w:type="dxa"/>
          </w:tcPr>
          <w:p w14:paraId="5A1A3862" w14:textId="42CB25A2" w:rsidR="002D3C29" w:rsidRPr="00BF734E" w:rsidRDefault="000F31D3" w:rsidP="000F31D3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lastRenderedPageBreak/>
              <w:t>Elaborarea și e</w:t>
            </w:r>
            <w:r w:rsidR="002D3C29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xpedierea unei scrisori de informare cu pachetul de materiale către MS, AP</w:t>
            </w:r>
            <w:r w:rsidR="00576981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L</w:t>
            </w:r>
            <w:r w:rsidR="002D3C29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nivel I, II, Direcțiile locale ASPF, centrele de sănătate, AMP</w:t>
            </w:r>
          </w:p>
        </w:tc>
        <w:tc>
          <w:tcPr>
            <w:tcW w:w="2967" w:type="dxa"/>
            <w:vMerge/>
          </w:tcPr>
          <w:p w14:paraId="3AF1FF56" w14:textId="77777777" w:rsidR="002D3C29" w:rsidRPr="00BF734E" w:rsidRDefault="002D3C29" w:rsidP="00097A59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70DD6A1E" w14:textId="77777777" w:rsidR="002D3C29" w:rsidRPr="00BF734E" w:rsidRDefault="002D3C29" w:rsidP="00097A59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Secretariatul Platformei </w:t>
            </w:r>
            <w:r w:rsidRPr="00BF734E">
              <w:rPr>
                <w:rFonts w:asciiTheme="minorHAnsi" w:hAnsiTheme="minorHAnsi" w:cs="Times New Roman"/>
                <w:sz w:val="24"/>
                <w:szCs w:val="24"/>
                <w:lang w:val="ro-RO"/>
              </w:rPr>
              <w:t xml:space="preserve">organizațiilor active în </w:t>
            </w:r>
            <w:r w:rsidR="000F31D3" w:rsidRPr="00BF734E">
              <w:rPr>
                <w:rFonts w:asciiTheme="minorHAnsi" w:hAnsiTheme="minorHAnsi" w:cs="Times New Roman"/>
                <w:sz w:val="24"/>
                <w:szCs w:val="24"/>
                <w:lang w:val="ro-RO"/>
              </w:rPr>
              <w:t>domeniul</w:t>
            </w:r>
            <w:r w:rsidRPr="00BF734E">
              <w:rPr>
                <w:rFonts w:asciiTheme="minorHAnsi" w:hAnsiTheme="minorHAnsi" w:cs="Times New Roman"/>
                <w:sz w:val="24"/>
                <w:szCs w:val="24"/>
                <w:lang w:val="ro-RO"/>
              </w:rPr>
              <w:t xml:space="preserve"> TB din RM</w:t>
            </w:r>
          </w:p>
          <w:p w14:paraId="793D05F8" w14:textId="77777777" w:rsidR="002D3C29" w:rsidRPr="00BF734E" w:rsidRDefault="002D3C29" w:rsidP="002765B6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</w:tr>
      <w:tr w:rsidR="002D3C29" w:rsidRPr="00BF734E" w14:paraId="2514E532" w14:textId="77777777" w:rsidTr="002D3C29">
        <w:tc>
          <w:tcPr>
            <w:tcW w:w="3697" w:type="dxa"/>
          </w:tcPr>
          <w:p w14:paraId="64D17F41" w14:textId="77777777" w:rsidR="002D3C29" w:rsidRPr="00BF734E" w:rsidRDefault="000F31D3" w:rsidP="000F31D3">
            <w:pPr>
              <w:pStyle w:val="HTMLPreformatted"/>
              <w:rPr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Instruiri pentru studenț</w:t>
            </w:r>
            <w:r w:rsidR="002D3C29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ii voluntari ai colegiilor 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de medicină</w:t>
            </w:r>
            <w:r w:rsidR="002D3C29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din Moldova cu privire la pledoaria TB în contextul pandemiei COVID-19 </w:t>
            </w:r>
          </w:p>
        </w:tc>
        <w:tc>
          <w:tcPr>
            <w:tcW w:w="2967" w:type="dxa"/>
            <w:vMerge/>
          </w:tcPr>
          <w:p w14:paraId="540BCE28" w14:textId="77777777" w:rsidR="002D3C29" w:rsidRPr="00BF734E" w:rsidRDefault="002D3C29" w:rsidP="002765B6">
            <w:pPr>
              <w:pStyle w:val="ListParagraph"/>
              <w:spacing w:before="240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3605F371" w14:textId="415853C3" w:rsidR="00576981" w:rsidRDefault="00576981" w:rsidP="002765B6">
            <w:pPr>
              <w:pStyle w:val="ListParagraph"/>
              <w:spacing w:before="240"/>
              <w:ind w:left="0"/>
              <w:rPr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 xml:space="preserve">IFP ”Chiril </w:t>
            </w:r>
            <w:proofErr w:type="spellStart"/>
            <w:r w:rsidRPr="00BF734E">
              <w:rPr>
                <w:sz w:val="24"/>
                <w:szCs w:val="24"/>
                <w:lang w:val="ro-RO"/>
              </w:rPr>
              <w:t>Draganiuc</w:t>
            </w:r>
            <w:proofErr w:type="spellEnd"/>
            <w:r w:rsidRPr="00BF734E">
              <w:rPr>
                <w:sz w:val="24"/>
                <w:szCs w:val="24"/>
                <w:lang w:val="ro-RO"/>
              </w:rPr>
              <w:t>”</w:t>
            </w:r>
            <w:r w:rsidR="0062574A">
              <w:rPr>
                <w:sz w:val="24"/>
                <w:szCs w:val="24"/>
                <w:lang w:val="ro-RO"/>
              </w:rPr>
              <w:t>, PNRT</w:t>
            </w:r>
          </w:p>
          <w:p w14:paraId="63F0C3CC" w14:textId="366AB09B" w:rsidR="002D3C29" w:rsidRPr="00BF734E" w:rsidRDefault="002D3C29" w:rsidP="002765B6">
            <w:pPr>
              <w:pStyle w:val="ListParagraph"/>
              <w:spacing w:before="240"/>
              <w:ind w:left="0"/>
              <w:rPr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>Centrul PAS</w:t>
            </w:r>
          </w:p>
          <w:p w14:paraId="26945F33" w14:textId="1D58F452" w:rsidR="002D3C29" w:rsidRPr="00BF734E" w:rsidRDefault="002D3C29" w:rsidP="002765B6">
            <w:pPr>
              <w:pStyle w:val="ListParagraph"/>
              <w:spacing w:before="240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2D3C29" w:rsidRPr="00BF734E" w14:paraId="1480FC36" w14:textId="77777777" w:rsidTr="002D3C29">
        <w:tc>
          <w:tcPr>
            <w:tcW w:w="3697" w:type="dxa"/>
          </w:tcPr>
          <w:p w14:paraId="2DA97573" w14:textId="066F8C26" w:rsidR="002D3C29" w:rsidRPr="00BF734E" w:rsidRDefault="002D3C29" w:rsidP="00F6615F">
            <w:pPr>
              <w:jc w:val="both"/>
              <w:rPr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 xml:space="preserve">Discuții cu studenții Colegiilor de medicină </w:t>
            </w:r>
            <w:r w:rsidR="00576981" w:rsidRPr="00BF734E">
              <w:rPr>
                <w:sz w:val="24"/>
                <w:szCs w:val="24"/>
                <w:lang w:val="ro-RO"/>
              </w:rPr>
              <w:t>privind</w:t>
            </w:r>
            <w:r w:rsidRPr="00BF734E">
              <w:rPr>
                <w:sz w:val="24"/>
                <w:szCs w:val="24"/>
                <w:lang w:val="ro-RO"/>
              </w:rPr>
              <w:t xml:space="preserve"> TB  </w:t>
            </w:r>
          </w:p>
          <w:p w14:paraId="590B7ECA" w14:textId="77777777" w:rsidR="002D3C29" w:rsidRPr="00BF734E" w:rsidRDefault="002D3C29" w:rsidP="00E102D1">
            <w:pPr>
              <w:pStyle w:val="ListParagraph"/>
              <w:spacing w:before="240"/>
              <w:ind w:left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67" w:type="dxa"/>
            <w:vMerge/>
          </w:tcPr>
          <w:p w14:paraId="290BE633" w14:textId="77777777" w:rsidR="002D3C29" w:rsidRPr="00BF734E" w:rsidRDefault="002D3C29" w:rsidP="002765B6">
            <w:pPr>
              <w:pStyle w:val="ListParagraph"/>
              <w:spacing w:before="240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488AEBB3" w14:textId="77777777" w:rsidR="002D3C29" w:rsidRPr="00BF734E" w:rsidRDefault="002D3C29" w:rsidP="000F31D3">
            <w:pPr>
              <w:pStyle w:val="ListParagraph"/>
              <w:spacing w:before="240"/>
              <w:ind w:left="0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 xml:space="preserve">Studenți voluntari ai colegiilor </w:t>
            </w:r>
            <w:r w:rsidR="000F31D3" w:rsidRPr="00BF734E">
              <w:rPr>
                <w:sz w:val="24"/>
                <w:szCs w:val="24"/>
                <w:lang w:val="ro-RO"/>
              </w:rPr>
              <w:t>de medicină</w:t>
            </w:r>
            <w:r w:rsidRPr="00BF734E">
              <w:rPr>
                <w:sz w:val="24"/>
                <w:szCs w:val="24"/>
                <w:lang w:val="ro-RO"/>
              </w:rPr>
              <w:t xml:space="preserve"> din Moldova cu sprijinul Centrului PAS</w:t>
            </w:r>
          </w:p>
        </w:tc>
      </w:tr>
      <w:tr w:rsidR="002D3C29" w:rsidRPr="00BF734E" w14:paraId="1AE57CD3" w14:textId="77777777" w:rsidTr="002D3C29">
        <w:tc>
          <w:tcPr>
            <w:tcW w:w="3697" w:type="dxa"/>
          </w:tcPr>
          <w:p w14:paraId="3358505A" w14:textId="77777777" w:rsidR="002D3C29" w:rsidRPr="00BF734E" w:rsidRDefault="002D3C29" w:rsidP="001C5F53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Diseminarea materialelor informative despre tuberculoză și drepturile pacienților cu tuberculoză în instituțiile medicale din Cahul, Orhei, Ungheni, mun. Chișinău și Bălți și satele din apropiere</w:t>
            </w:r>
          </w:p>
        </w:tc>
        <w:tc>
          <w:tcPr>
            <w:tcW w:w="2967" w:type="dxa"/>
            <w:vMerge/>
          </w:tcPr>
          <w:p w14:paraId="5E0F5107" w14:textId="77777777" w:rsidR="002D3C29" w:rsidRPr="00BF734E" w:rsidRDefault="002D3C29" w:rsidP="009008B6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0CA46C90" w14:textId="77777777" w:rsidR="002D3C29" w:rsidRPr="00BF734E" w:rsidRDefault="002D3C29" w:rsidP="000F31D3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Studenți voluntari ai colegiilor </w:t>
            </w:r>
            <w:r w:rsidR="000F31D3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de medicină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din Moldova cu sprijinul Centrului PAS</w:t>
            </w:r>
          </w:p>
        </w:tc>
      </w:tr>
      <w:tr w:rsidR="002D3C29" w:rsidRPr="00BF734E" w14:paraId="538CEF4B" w14:textId="77777777" w:rsidTr="002D3C29">
        <w:tc>
          <w:tcPr>
            <w:tcW w:w="3697" w:type="dxa"/>
          </w:tcPr>
          <w:p w14:paraId="70F25A14" w14:textId="77777777" w:rsidR="002D3C29" w:rsidRPr="00BF734E" w:rsidRDefault="000F31D3" w:rsidP="000F31D3">
            <w:pPr>
              <w:pStyle w:val="HTMLPreformatted"/>
              <w:rPr>
                <w:b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Ședințe, evenimente</w:t>
            </w:r>
            <w:r w:rsidR="002D3C29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tematice informaționale cu personalul instituțiilor medicale și angajații serviciilor sociale </w:t>
            </w:r>
          </w:p>
        </w:tc>
        <w:tc>
          <w:tcPr>
            <w:tcW w:w="2967" w:type="dxa"/>
            <w:vMerge/>
          </w:tcPr>
          <w:p w14:paraId="1C76B0A5" w14:textId="77777777" w:rsidR="002D3C29" w:rsidRPr="00BF734E" w:rsidRDefault="002D3C29" w:rsidP="002765B6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10637BB1" w14:textId="77777777" w:rsidR="002D3C29" w:rsidRPr="00BF734E" w:rsidRDefault="000F31D3" w:rsidP="002765B6">
            <w:pPr>
              <w:pStyle w:val="HTMLPreformatted"/>
              <w:rPr>
                <w:b/>
                <w:sz w:val="24"/>
                <w:szCs w:val="24"/>
                <w:highlight w:val="yellow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AO AFI, AO SMIT, AO UORN, AO ”Casa Speranțelor”, AO ”AFI Anenii Noi”, AO ”Asociația Psihologilor din Tighina”, AO ”Speranța Terrei”, AO ”Programe 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medico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-sociale”, AO ”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Aktiv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”</w:t>
            </w:r>
          </w:p>
        </w:tc>
      </w:tr>
      <w:tr w:rsidR="002D3C29" w:rsidRPr="00BF734E" w14:paraId="6D0F9B44" w14:textId="77777777" w:rsidTr="002D3C29">
        <w:tc>
          <w:tcPr>
            <w:tcW w:w="3697" w:type="dxa"/>
          </w:tcPr>
          <w:p w14:paraId="60C500B6" w14:textId="77777777" w:rsidR="002D3C29" w:rsidRPr="00BF734E" w:rsidRDefault="000F31D3" w:rsidP="00233C02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Discuții</w:t>
            </w:r>
            <w:r w:rsidR="002D3C29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individuale sau de grup cu persoanele afectate de TB cu distribuirea materialelor tematice </w:t>
            </w:r>
          </w:p>
        </w:tc>
        <w:tc>
          <w:tcPr>
            <w:tcW w:w="2967" w:type="dxa"/>
            <w:vMerge/>
          </w:tcPr>
          <w:p w14:paraId="00B9389D" w14:textId="77777777" w:rsidR="002D3C29" w:rsidRPr="00BF734E" w:rsidRDefault="002D3C2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96" w:type="dxa"/>
          </w:tcPr>
          <w:p w14:paraId="5CBD8120" w14:textId="77777777" w:rsidR="002D3C29" w:rsidRPr="00BF734E" w:rsidRDefault="000F31D3">
            <w:pPr>
              <w:rPr>
                <w:sz w:val="24"/>
                <w:szCs w:val="24"/>
                <w:highlight w:val="yellow"/>
                <w:lang w:val="ro-RO"/>
              </w:rPr>
            </w:pPr>
            <w:r w:rsidRPr="00BF734E">
              <w:rPr>
                <w:sz w:val="24"/>
                <w:szCs w:val="24"/>
                <w:lang w:val="ro-RO"/>
              </w:rPr>
              <w:t xml:space="preserve">AO AFI, AO SMIT, AO UORN, AO ”Casa Speranțelor”, AO ”AFI Anenii Noi”, AO ”Asociația Psihologilor </w:t>
            </w:r>
            <w:r w:rsidRPr="00BF734E">
              <w:rPr>
                <w:sz w:val="24"/>
                <w:szCs w:val="24"/>
                <w:lang w:val="ro-RO"/>
              </w:rPr>
              <w:lastRenderedPageBreak/>
              <w:t xml:space="preserve">din Tighina”, AO ”Speranța Terrei”, AO ”Programe </w:t>
            </w:r>
            <w:proofErr w:type="spellStart"/>
            <w:r w:rsidRPr="00BF734E">
              <w:rPr>
                <w:sz w:val="24"/>
                <w:szCs w:val="24"/>
                <w:lang w:val="ro-RO"/>
              </w:rPr>
              <w:t>medico</w:t>
            </w:r>
            <w:proofErr w:type="spellEnd"/>
            <w:r w:rsidRPr="00BF734E">
              <w:rPr>
                <w:sz w:val="24"/>
                <w:szCs w:val="24"/>
                <w:lang w:val="ro-RO"/>
              </w:rPr>
              <w:t>-sociale”, AO ”</w:t>
            </w:r>
            <w:proofErr w:type="spellStart"/>
            <w:r w:rsidRPr="00BF734E">
              <w:rPr>
                <w:sz w:val="24"/>
                <w:szCs w:val="24"/>
                <w:lang w:val="ro-RO"/>
              </w:rPr>
              <w:t>Aktiv</w:t>
            </w:r>
            <w:proofErr w:type="spellEnd"/>
            <w:r w:rsidRPr="00BF734E">
              <w:rPr>
                <w:sz w:val="24"/>
                <w:szCs w:val="24"/>
                <w:lang w:val="ro-RO"/>
              </w:rPr>
              <w:t>”</w:t>
            </w:r>
          </w:p>
        </w:tc>
      </w:tr>
      <w:tr w:rsidR="00152FB5" w:rsidRPr="00BF734E" w14:paraId="00FAECCC" w14:textId="77777777" w:rsidTr="002D3C29">
        <w:tc>
          <w:tcPr>
            <w:tcW w:w="3697" w:type="dxa"/>
          </w:tcPr>
          <w:p w14:paraId="0AC46190" w14:textId="77777777" w:rsidR="00152FB5" w:rsidRPr="00BF734E" w:rsidRDefault="00152FB5" w:rsidP="000F31D3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lastRenderedPageBreak/>
              <w:t xml:space="preserve">Conferință online despre tuberculoză și drepturile pacienților </w:t>
            </w:r>
            <w:r w:rsidR="000F31D3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cu participarea studenților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colegiilor </w:t>
            </w:r>
            <w:r w:rsidR="000F31D3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de medicină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din Moldova </w:t>
            </w:r>
          </w:p>
        </w:tc>
        <w:tc>
          <w:tcPr>
            <w:tcW w:w="2967" w:type="dxa"/>
          </w:tcPr>
          <w:p w14:paraId="2ADF8D7B" w14:textId="77777777" w:rsidR="00152FB5" w:rsidRPr="00BF734E" w:rsidRDefault="00233C02" w:rsidP="001C5F53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9 decembrie</w:t>
            </w:r>
          </w:p>
        </w:tc>
        <w:tc>
          <w:tcPr>
            <w:tcW w:w="2596" w:type="dxa"/>
          </w:tcPr>
          <w:p w14:paraId="5D437C0D" w14:textId="0C17CFD3" w:rsidR="00152FB5" w:rsidRPr="00BF734E" w:rsidRDefault="00152FB5" w:rsidP="001C5F53">
            <w:pPr>
              <w:pStyle w:val="HTMLPreformatted"/>
              <w:rPr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Centrul PAS, Centrul de 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Excelenţă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în Medicină 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şi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Farmacie ”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Raisa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Pacalo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”, </w:t>
            </w:r>
            <w:r w:rsidR="00233C02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IFP ”Chiril </w:t>
            </w:r>
            <w:proofErr w:type="spellStart"/>
            <w:r w:rsidR="00233C02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Draganiuc</w:t>
            </w:r>
            <w:proofErr w:type="spellEnd"/>
            <w:r w:rsidR="00233C02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”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, </w:t>
            </w:r>
            <w:r w:rsidR="0062574A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PNRT, 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SMIT, IDOM</w:t>
            </w:r>
          </w:p>
        </w:tc>
      </w:tr>
      <w:tr w:rsidR="00233C02" w:rsidRPr="00BF734E" w14:paraId="3994B135" w14:textId="77777777" w:rsidTr="002D3C29">
        <w:tc>
          <w:tcPr>
            <w:tcW w:w="3697" w:type="dxa"/>
          </w:tcPr>
          <w:p w14:paraId="355AFB11" w14:textId="09B201F1" w:rsidR="00233C02" w:rsidRPr="00BF734E" w:rsidRDefault="00233C02" w:rsidP="00233C02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Conferința națională </w:t>
            </w:r>
            <w:r w:rsidR="000F31D3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cu </w:t>
            </w:r>
            <w:r w:rsidR="00576981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participare</w:t>
            </w:r>
            <w:r w:rsidR="000F31D3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internațională dedicat</w:t>
            </w:r>
            <w:r w:rsidR="00576981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ă</w:t>
            </w:r>
            <w:r w:rsidR="000F31D3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Drepturilor Omului în TB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 </w:t>
            </w:r>
          </w:p>
          <w:p w14:paraId="7E5E946A" w14:textId="77777777" w:rsidR="00233C02" w:rsidRPr="00BF734E" w:rsidRDefault="00233C02" w:rsidP="00233C02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</w:p>
        </w:tc>
        <w:tc>
          <w:tcPr>
            <w:tcW w:w="2967" w:type="dxa"/>
          </w:tcPr>
          <w:p w14:paraId="0D7098AA" w14:textId="77777777" w:rsidR="00233C02" w:rsidRPr="00BF734E" w:rsidRDefault="00233C02" w:rsidP="00233C02">
            <w:pPr>
              <w:pStyle w:val="HTMLPreformatted"/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10 decembrie</w:t>
            </w:r>
          </w:p>
        </w:tc>
        <w:tc>
          <w:tcPr>
            <w:tcW w:w="2596" w:type="dxa"/>
          </w:tcPr>
          <w:p w14:paraId="339D6E14" w14:textId="74F635F5" w:rsidR="00233C02" w:rsidRPr="00BF734E" w:rsidRDefault="00233C02" w:rsidP="000F31D3">
            <w:pPr>
              <w:pStyle w:val="HTMLPreformatted"/>
              <w:rPr>
                <w:sz w:val="24"/>
                <w:szCs w:val="24"/>
                <w:lang w:val="ro-RO"/>
              </w:rPr>
            </w:pP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Platforma organizațiilor active în </w:t>
            </w:r>
            <w:r w:rsidR="000F31D3"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domeniul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 TB din RM în colaborare cu IFP ”Chiril </w:t>
            </w:r>
            <w:proofErr w:type="spellStart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Draganiuc</w:t>
            </w:r>
            <w:proofErr w:type="spellEnd"/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”, </w:t>
            </w:r>
            <w:r w:rsidR="0062574A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 xml:space="preserve">PNRT, 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Centrul PAS și</w:t>
            </w:r>
            <w:r w:rsidRPr="00BF734E">
              <w:rPr>
                <w:sz w:val="24"/>
                <w:szCs w:val="24"/>
                <w:lang w:val="ro-RO"/>
              </w:rPr>
              <w:t xml:space="preserve"> </w:t>
            </w:r>
            <w:r w:rsidRPr="00BF734E">
              <w:rPr>
                <w:rFonts w:asciiTheme="minorHAnsi" w:eastAsiaTheme="minorHAnsi" w:hAnsiTheme="minorHAnsi" w:cstheme="minorBidi"/>
                <w:sz w:val="24"/>
                <w:szCs w:val="24"/>
                <w:lang w:val="ro-RO"/>
              </w:rPr>
              <w:t>Institutul pentru Drepturile Omului</w:t>
            </w:r>
            <w:r w:rsidRPr="00BF734E">
              <w:rPr>
                <w:sz w:val="24"/>
                <w:szCs w:val="24"/>
                <w:lang w:val="ro-RO"/>
              </w:rPr>
              <w:t xml:space="preserve">  </w:t>
            </w:r>
          </w:p>
        </w:tc>
      </w:tr>
    </w:tbl>
    <w:p w14:paraId="14F80DB4" w14:textId="77777777" w:rsidR="000D5486" w:rsidRPr="00BF734E" w:rsidRDefault="000D5486" w:rsidP="000D5486">
      <w:pPr>
        <w:pStyle w:val="ListParagraph"/>
        <w:spacing w:before="240"/>
        <w:ind w:left="90"/>
        <w:rPr>
          <w:b/>
          <w:sz w:val="24"/>
          <w:szCs w:val="24"/>
          <w:lang w:val="ro-RO"/>
        </w:rPr>
      </w:pPr>
    </w:p>
    <w:p w14:paraId="0B325E3A" w14:textId="77777777" w:rsidR="00E2430E" w:rsidRPr="00BF734E" w:rsidRDefault="00E2430E" w:rsidP="00E2430E">
      <w:pPr>
        <w:jc w:val="both"/>
        <w:rPr>
          <w:sz w:val="24"/>
          <w:szCs w:val="24"/>
          <w:lang w:val="ro-RO"/>
        </w:rPr>
      </w:pPr>
    </w:p>
    <w:p w14:paraId="26559483" w14:textId="77777777" w:rsidR="00E2430E" w:rsidRPr="00BF734E" w:rsidRDefault="00E2430E" w:rsidP="00E2430E">
      <w:pPr>
        <w:jc w:val="both"/>
        <w:rPr>
          <w:sz w:val="24"/>
          <w:szCs w:val="24"/>
          <w:lang w:val="ro-RO"/>
        </w:rPr>
      </w:pPr>
    </w:p>
    <w:p w14:paraId="3C2F3D55" w14:textId="77777777" w:rsidR="00E2430E" w:rsidRPr="00BF734E" w:rsidRDefault="00E2430E" w:rsidP="00E2430E">
      <w:pPr>
        <w:jc w:val="both"/>
        <w:rPr>
          <w:sz w:val="24"/>
          <w:szCs w:val="24"/>
          <w:lang w:val="ro-RO"/>
        </w:rPr>
      </w:pPr>
    </w:p>
    <w:p w14:paraId="7B50B440" w14:textId="77777777" w:rsidR="00E2430E" w:rsidRPr="00BF734E" w:rsidRDefault="00E2430E" w:rsidP="00E2430E">
      <w:pPr>
        <w:jc w:val="both"/>
        <w:rPr>
          <w:sz w:val="24"/>
          <w:szCs w:val="24"/>
          <w:lang w:val="ro-RO"/>
        </w:rPr>
      </w:pPr>
    </w:p>
    <w:sectPr w:rsidR="00E2430E" w:rsidRPr="00BF734E" w:rsidSect="0011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5534"/>
    <w:multiLevelType w:val="hybridMultilevel"/>
    <w:tmpl w:val="29E4698C"/>
    <w:lvl w:ilvl="0" w:tplc="9FF87BC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177F"/>
    <w:multiLevelType w:val="hybridMultilevel"/>
    <w:tmpl w:val="E468FFFC"/>
    <w:lvl w:ilvl="0" w:tplc="621639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9620D3"/>
    <w:multiLevelType w:val="hybridMultilevel"/>
    <w:tmpl w:val="040C7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20877"/>
    <w:multiLevelType w:val="hybridMultilevel"/>
    <w:tmpl w:val="97BEED54"/>
    <w:lvl w:ilvl="0" w:tplc="5ECC442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2B6494B"/>
    <w:multiLevelType w:val="hybridMultilevel"/>
    <w:tmpl w:val="37D2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E31D2"/>
    <w:multiLevelType w:val="hybridMultilevel"/>
    <w:tmpl w:val="8AB0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2124"/>
    <w:multiLevelType w:val="hybridMultilevel"/>
    <w:tmpl w:val="FC82A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F35C0"/>
    <w:multiLevelType w:val="hybridMultilevel"/>
    <w:tmpl w:val="A86CA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B4ACA"/>
    <w:multiLevelType w:val="hybridMultilevel"/>
    <w:tmpl w:val="D982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5B8B"/>
    <w:multiLevelType w:val="hybridMultilevel"/>
    <w:tmpl w:val="8AB0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2C"/>
    <w:rsid w:val="00097A59"/>
    <w:rsid w:val="000C2597"/>
    <w:rsid w:val="000D5486"/>
    <w:rsid w:val="000F31D3"/>
    <w:rsid w:val="00112D5C"/>
    <w:rsid w:val="0013032A"/>
    <w:rsid w:val="00152FB5"/>
    <w:rsid w:val="001C119C"/>
    <w:rsid w:val="001C5F53"/>
    <w:rsid w:val="00233C02"/>
    <w:rsid w:val="00250F4B"/>
    <w:rsid w:val="002765B6"/>
    <w:rsid w:val="002D3C29"/>
    <w:rsid w:val="00330FB7"/>
    <w:rsid w:val="00341981"/>
    <w:rsid w:val="00374620"/>
    <w:rsid w:val="0043572A"/>
    <w:rsid w:val="00474D60"/>
    <w:rsid w:val="004A699D"/>
    <w:rsid w:val="004A6B7A"/>
    <w:rsid w:val="004E2A3C"/>
    <w:rsid w:val="00576981"/>
    <w:rsid w:val="0058782C"/>
    <w:rsid w:val="00597862"/>
    <w:rsid w:val="005D3AB7"/>
    <w:rsid w:val="00616B62"/>
    <w:rsid w:val="0062574A"/>
    <w:rsid w:val="006C32DB"/>
    <w:rsid w:val="00732A65"/>
    <w:rsid w:val="007A7C0C"/>
    <w:rsid w:val="00823CA8"/>
    <w:rsid w:val="009008B6"/>
    <w:rsid w:val="00970898"/>
    <w:rsid w:val="00AC3AA4"/>
    <w:rsid w:val="00AF6512"/>
    <w:rsid w:val="00B0378D"/>
    <w:rsid w:val="00B15000"/>
    <w:rsid w:val="00B150D2"/>
    <w:rsid w:val="00B37D78"/>
    <w:rsid w:val="00BD5260"/>
    <w:rsid w:val="00BE3B1C"/>
    <w:rsid w:val="00BF734E"/>
    <w:rsid w:val="00C27D0B"/>
    <w:rsid w:val="00D35C18"/>
    <w:rsid w:val="00DA51A4"/>
    <w:rsid w:val="00E04CE1"/>
    <w:rsid w:val="00E102D1"/>
    <w:rsid w:val="00E2430E"/>
    <w:rsid w:val="00EC3A80"/>
    <w:rsid w:val="00F32ADD"/>
    <w:rsid w:val="00F6615F"/>
    <w:rsid w:val="00F80ADF"/>
    <w:rsid w:val="00FA171F"/>
    <w:rsid w:val="00FB7761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A324"/>
  <w15:docId w15:val="{020A1AC9-69DA-49C2-96CD-E40B8560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5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48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6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6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5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198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2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2A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32ADD"/>
  </w:style>
  <w:style w:type="character" w:customStyle="1" w:styleId="Heading3Char">
    <w:name w:val="Heading 3 Char"/>
    <w:basedOn w:val="DefaultParagraphFont"/>
    <w:link w:val="Heading3"/>
    <w:uiPriority w:val="9"/>
    <w:rsid w:val="000D5486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table" w:styleId="TableGrid">
    <w:name w:val="Table Grid"/>
    <w:basedOn w:val="TableNormal"/>
    <w:uiPriority w:val="39"/>
    <w:rsid w:val="00E1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32BAF-6630-4901-B90E-27E9DC07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Pîrțînă</dc:creator>
  <cp:lastModifiedBy>Lucia Pîrțînă</cp:lastModifiedBy>
  <cp:revision>2</cp:revision>
  <dcterms:created xsi:type="dcterms:W3CDTF">2021-11-15T06:39:00Z</dcterms:created>
  <dcterms:modified xsi:type="dcterms:W3CDTF">2021-11-15T06:39:00Z</dcterms:modified>
</cp:coreProperties>
</file>